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г     </w:t>
        <w:tab/>
        <w:tab/>
        <w:t xml:space="preserve">     №  </w:t>
      </w:r>
      <w:r>
        <w:rPr>
          <w:b/>
          <w:bCs/>
          <w:sz w:val="28"/>
          <w:szCs w:val="28"/>
        </w:rPr>
        <w:t>51</w:t>
      </w:r>
      <w:r>
        <w:rPr>
          <w:b/>
          <w:bCs/>
          <w:sz w:val="28"/>
          <w:szCs w:val="28"/>
        </w:rPr>
        <w:tab/>
        <w:tab/>
        <w:tab/>
        <w:t>с. Николаевка</w:t>
      </w:r>
    </w:p>
    <w:p>
      <w:pPr>
        <w:pStyle w:val="Style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постановление администрации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Николаевского муниципального образования </w:t>
      </w:r>
    </w:p>
    <w:p>
      <w:pPr>
        <w:pStyle w:val="NoSpacing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 от 21.02.2019 года «Об утверждении административного</w:t>
      </w:r>
    </w:p>
    <w:p>
      <w:pPr>
        <w:pStyle w:val="NoSpacing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регламента предоставления муниципальной услуги </w:t>
      </w:r>
      <w:bookmarkStart w:id="0" w:name="__DdeLink__959_42359856571"/>
      <w:bookmarkStart w:id="1" w:name="__DdeLink__118_28111583481"/>
      <w:bookmarkStart w:id="2" w:name="__DdeLink__995_1986967179"/>
      <w:bookmarkEnd w:id="0"/>
      <w:bookmarkEnd w:id="1"/>
      <w:bookmarkEnd w:id="2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Style8"/>
            <w:rFonts w:cs="Times New Roman"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 июля 2010 г. N 210-ФЗ «Об организации предоставления государственных и муниципальных услуг», </w:t>
      </w:r>
      <w:hyperlink r:id="rId3">
        <w:r>
          <w:rPr>
            <w:rStyle w:val="Style8"/>
            <w:rFonts w:cs="Times New Roman"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администрации Николаевского муниципального образования от  </w:t>
      </w:r>
      <w:r>
        <w:rPr>
          <w:rFonts w:ascii="Times New Roman" w:hAnsi="Times New Roman"/>
          <w:color w:val="000000"/>
          <w:sz w:val="28"/>
          <w:szCs w:val="28"/>
        </w:rPr>
        <w:t>15.05.2012 г. № 15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статьей 39.27 Земельного кодекса РФ,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Николаевского муниципального образования ПОСТАНОВЛЯЕТ: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«Заключение соглашений о перераспределении земель </w:t>
      </w:r>
      <w:r>
        <w:rPr>
          <w:rFonts w:ascii="Times New Roman" w:hAnsi="Times New Roman"/>
          <w:sz w:val="28"/>
          <w:szCs w:val="28"/>
        </w:rPr>
        <w:t xml:space="preserve">и (или) земельных участков, находящихся в муниципальной собственности и земельных участков, </w:t>
      </w:r>
      <w:r>
        <w:rPr>
          <w:rFonts w:cs="Times New Roman" w:ascii="Times New Roman" w:hAnsi="Times New Roman"/>
          <w:color w:val="000000"/>
          <w:sz w:val="28"/>
          <w:szCs w:val="28"/>
        </w:rPr>
        <w:t>находящихся в частной собственности»</w:t>
      </w:r>
      <w:r>
        <w:rPr>
          <w:rFonts w:cs="Times New Roman" w:ascii="Times New Roman" w:hAnsi="Times New Roman"/>
          <w:sz w:val="28"/>
          <w:szCs w:val="28"/>
        </w:rPr>
        <w:t xml:space="preserve"> утвержденный постановлением администрации от 21.02.2019 № 7 (с изменениями от 25.06.2019 №21, </w:t>
      </w:r>
      <w:r>
        <w:rPr>
          <w:rFonts w:cs="Times New Roman" w:ascii="Times New Roman" w:hAnsi="Times New Roman"/>
          <w:sz w:val="28"/>
          <w:szCs w:val="28"/>
        </w:rPr>
        <w:t>от 07.04.2020г. №9</w:t>
      </w:r>
      <w:r>
        <w:rPr>
          <w:rFonts w:cs="Times New Roman" w:ascii="Times New Roman" w:hAnsi="Times New Roman"/>
          <w:sz w:val="28"/>
          <w:szCs w:val="28"/>
        </w:rPr>
        <w:t>), следующие изменения и дополнения: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>1.1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Основание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:</w:t>
      </w:r>
    </w:p>
    <w:p>
      <w:pPr>
        <w:pStyle w:val="Normal"/>
        <w:numPr>
          <w:ilvl w:val="0"/>
          <w:numId w:val="2"/>
        </w:numPr>
        <w:autoSpaceDE w:val="fals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«Исчерпывающий перечень оснований для</w:t>
      </w:r>
      <w:r>
        <w:rPr>
          <w:rFonts w:ascii="Times New Roman" w:hAnsi="Times New Roman"/>
          <w:b/>
          <w:bCs/>
          <w:i/>
          <w:sz w:val="27"/>
          <w:szCs w:val="27"/>
        </w:rPr>
        <w:t xml:space="preserve"> возврата заявления заявителю»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>
        <w:rPr>
          <w:rFonts w:ascii="Times New Roman" w:hAnsi="Times New Roman"/>
          <w:bCs/>
          <w:sz w:val="28"/>
          <w:szCs w:val="28"/>
        </w:rPr>
        <w:t>Исчерпывающий перечень оснований для возврата заявления заявителю: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 возвращается заявителю в случае если: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заявление подано в орган, не являющийся уполномоченным на заключение соглашения о перераспределении земельных участков;</w:t>
      </w:r>
    </w:p>
    <w:p>
      <w:pPr>
        <w:pStyle w:val="Normal"/>
        <w:numPr>
          <w:ilvl w:val="0"/>
          <w:numId w:val="2"/>
        </w:numPr>
        <w:spacing w:lineRule="atLeast" w:line="10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заявление не соответствует требованиям, предусмотренным пунктом 2 статьи 39.29 Земельного кодекса Российской Федерации;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заявлению не приложены документы, предусмотренные пунктом 3 статьи </w:t>
      </w:r>
      <w:r>
        <w:rPr>
          <w:rFonts w:ascii="Times New Roman" w:hAnsi="Times New Roman"/>
          <w:bCs/>
          <w:sz w:val="28"/>
          <w:szCs w:val="28"/>
        </w:rPr>
        <w:t>39.29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Style1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</w:rPr>
        <w:t>1.2.</w:t>
      </w:r>
      <w:r>
        <w:rPr>
          <w:rFonts w:cs="Times New Roman" w:ascii="Times New Roman" w:hAnsi="Times New Roman"/>
          <w:sz w:val="28"/>
          <w:szCs w:val="28"/>
        </w:rPr>
        <w:t xml:space="preserve">  В пункт 5.2.добавить подпункты з),и),к) следующего содержания:</w:t>
      </w:r>
    </w:p>
    <w:p>
      <w:pPr>
        <w:pStyle w:val="Style1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eastAsia="R;Times New Roman"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rFonts w:eastAsia="R;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fldChar w:fldCharType="begin"/>
      </w:r>
      <w:r>
        <w:instrText> HYPERLINK "http://www.consultant.ru/document/cons_doc_LAW_389741/a593eaab768d34bf2d7419322eac79481e73cf03/" \l "dst290"</w:instrText>
      </w:r>
      <w:r>
        <w:fldChar w:fldCharType="separate"/>
      </w:r>
      <w:r>
        <w:rPr>
          <w:rStyle w:val="Style8"/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>пунктом 4 части 1 статьи 7</w:t>
      </w:r>
      <w:r>
        <w:fldChar w:fldCharType="end"/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Федерального закона от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27 июля 2010 г. N 210-ФЗ</w:t>
      </w:r>
      <w:r>
        <w:rPr>
          <w:rFonts w:ascii="Times New Roman" w:hAnsi="Times New Roman"/>
          <w:b w:val="false"/>
          <w:bCs w:val="false"/>
          <w:sz w:val="28"/>
          <w:szCs w:val="28"/>
        </w:rPr>
        <w:t>».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Николаевское муниципальное образование.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0"/>
        <w:jc w:val="both"/>
        <w:rPr/>
      </w:pPr>
      <w:bookmarkStart w:id="3" w:name="__DdeLink__13257_2446968708"/>
      <w:bookmarkEnd w:id="3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kern w:val="2"/>
      <w:lang w:bidi="ar-SA"/>
    </w:rPr>
  </w:style>
  <w:style w:type="paragraph" w:styleId="Style17">
    <w:name w:val="Без интервала"/>
    <w:qFormat/>
    <w:pPr>
      <w:widowControl/>
    </w:pPr>
    <w:rPr>
      <w:rFonts w:ascii="Calibri" w:hAnsi="Calibri" w:eastAsia="Calibri" w:cs="Calibri"/>
      <w:color w:val="auto"/>
      <w:kern w:val="0"/>
      <w:sz w:val="22"/>
      <w:szCs w:val="22"/>
      <w:lang w:val="ru-RU" w:bidi="ar-S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79DD2C19ADAC96240A87489BC188E9781A16B5C2EBF2FCC9D866AC459B2871AB3178901EEF5A4FNB1AM" TargetMode="External"/><Relationship Id="rId3" Type="http://schemas.openxmlformats.org/officeDocument/2006/relationships/hyperlink" Target="consultantplus://offline/ref=7A79DD2C19ADAC96240A99458DADD5E171164BBFC9ECFAAC96873DF112922226EC7E21D25AE25B46BEF7A5N417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LibreOffice/5.4.3.2$Windows_X86_64 LibreOffice_project/92a7159f7e4af62137622921e809f8546db437e5</Application>
  <Pages>2</Pages>
  <Words>412</Words>
  <Characters>3078</Characters>
  <CharactersWithSpaces>3586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2021-12-21T16:23:57Z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