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1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3.06.2020г     </w:t>
        <w:tab/>
        <w:tab/>
        <w:t xml:space="preserve">     №  1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ab/>
        <w:tab/>
        <w:tab/>
        <w:t>с. Николаевка</w:t>
      </w:r>
    </w:p>
    <w:p>
      <w:pPr>
        <w:pStyle w:val="Style1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29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постановление администрации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Николаевского муниципального образования </w:t>
      </w:r>
    </w:p>
    <w:p>
      <w:pPr>
        <w:pStyle w:val="NoSpacing"/>
        <w:numPr>
          <w:ilvl w:val="0"/>
          <w:numId w:val="2"/>
        </w:numPr>
        <w:spacing w:lineRule="auto" w:line="240" w:before="0" w:after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7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 от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05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.201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 года «</w:t>
      </w:r>
      <w:r>
        <w:rPr>
          <w:rFonts w:eastAsia="Times New Roman CYR" w:cs="Times New Roman CYR" w:ascii="Times New Roman" w:hAnsi="Times New Roman"/>
          <w:b/>
          <w:bCs/>
          <w:i w:val="false"/>
          <w:iCs w:val="false"/>
          <w:sz w:val="28"/>
          <w:szCs w:val="28"/>
        </w:rPr>
        <w:t>Об осуществлении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Николаевского муниципального образования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»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sz w:val="28"/>
          <w:szCs w:val="28"/>
        </w:rPr>
        <w:t>п</w:t>
      </w:r>
      <w:hyperlink r:id="rId2" w:tgtFrame="Приказ Минэкономразвития Саратовской области от 25.09.2013 N 2839 (ред. от 29.05.2015) О порядке разработки и утверждения схемы нестационарных торговых объектов&quot;{КонсультантПлюс}">
        <w:r>
          <w:rPr>
            <w:rStyle w:val="Style8"/>
            <w:rFonts w:cs="Times New Roman" w:ascii="Times New Roman" w:hAnsi="Times New Roman"/>
            <w:color w:val="00000A"/>
            <w:sz w:val="28"/>
            <w:szCs w:val="28"/>
            <w:u w:val="none"/>
          </w:rPr>
          <w:t>риказом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инистерства экономического развития Саратовской области от </w:t>
      </w:r>
      <w:r>
        <w:rPr>
          <w:rFonts w:cs="Times New Roman" w:ascii="Times New Roman" w:hAnsi="Times New Roman"/>
          <w:sz w:val="28"/>
          <w:szCs w:val="28"/>
        </w:rPr>
        <w:t>18.10.</w:t>
      </w: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г. № </w:t>
      </w:r>
      <w:r>
        <w:rPr>
          <w:rFonts w:cs="Times New Roman" w:ascii="Times New Roman" w:hAnsi="Times New Roman"/>
          <w:sz w:val="28"/>
          <w:szCs w:val="28"/>
        </w:rPr>
        <w:t>2424</w:t>
      </w:r>
      <w:r>
        <w:rPr>
          <w:rFonts w:cs="Times New Roman" w:ascii="Times New Roman" w:hAnsi="Times New Roman"/>
          <w:sz w:val="28"/>
          <w:szCs w:val="28"/>
        </w:rPr>
        <w:t xml:space="preserve"> "О п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орядке разработки и утверждения схемы нестационарных торговых объектов"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редакции от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13.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01.2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020 года)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администрация Николаевского муниципального образования ПОСТАНОВЛЯЕТ: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В приложение №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постановлению администрации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Николаевского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05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.201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года «</w:t>
      </w:r>
      <w:r>
        <w:rPr>
          <w:rFonts w:eastAsia="Times New Roman CYR" w:cs="Times New Roman CYR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Об осуществлении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Николаевского муниципального образования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» в</w:t>
      </w:r>
      <w:r>
        <w:rPr>
          <w:rFonts w:cs="Times New Roman" w:ascii="Times New Roman" w:hAnsi="Times New Roman"/>
          <w:color w:val="000000"/>
          <w:sz w:val="28"/>
          <w:szCs w:val="28"/>
        </w:rPr>
        <w:t>нести  следующие изменения и дополнения:</w:t>
      </w:r>
    </w:p>
    <w:p>
      <w:pPr>
        <w:pStyle w:val="Normal"/>
        <w:numPr>
          <w:ilvl w:val="0"/>
          <w:numId w:val="2"/>
        </w:numPr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.1.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Пункт 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дополнить п.п. 3.4. следующего содержания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Заявитель</w:t>
      </w:r>
      <w:r>
        <w:rPr>
          <w:rFonts w:ascii="Times New Roman" w:hAnsi="Times New Roman"/>
          <w:sz w:val="28"/>
          <w:szCs w:val="28"/>
        </w:rPr>
        <w:t xml:space="preserve"> или его представитель в течение 5 рабочих дней со дня получения </w:t>
      </w:r>
      <w:r>
        <w:rPr>
          <w:rFonts w:cs="Times New Roman" w:ascii="Times New Roman" w:hAnsi="Times New Roman"/>
          <w:sz w:val="28"/>
          <w:szCs w:val="28"/>
        </w:rPr>
        <w:t>правово</w:t>
      </w:r>
      <w:r>
        <w:rPr>
          <w:rFonts w:cs="Times New Roman" w:ascii="Times New Roman" w:hAnsi="Times New Roman"/>
          <w:sz w:val="28"/>
          <w:szCs w:val="28"/>
        </w:rPr>
        <w:t>го</w:t>
      </w:r>
      <w:r>
        <w:rPr>
          <w:rFonts w:cs="Times New Roman" w:ascii="Times New Roman" w:hAnsi="Times New Roman"/>
          <w:sz w:val="28"/>
          <w:szCs w:val="28"/>
        </w:rPr>
        <w:t xml:space="preserve"> акт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об утверждении  схемы (внесении изменений в схему)</w:t>
      </w:r>
      <w:r>
        <w:rPr>
          <w:rFonts w:ascii="Times New Roman" w:hAnsi="Times New Roman"/>
          <w:sz w:val="28"/>
          <w:szCs w:val="28"/>
        </w:rPr>
        <w:t xml:space="preserve"> должен прибыть в уполномоченный орга</w:t>
      </w:r>
      <w:r>
        <w:rPr>
          <w:rFonts w:ascii="Times New Roman" w:hAnsi="Times New Roman"/>
          <w:sz w:val="28"/>
          <w:szCs w:val="28"/>
        </w:rPr>
        <w:t xml:space="preserve">н для заключения Договора на размещение </w:t>
      </w:r>
      <w:r>
        <w:rPr>
          <w:rStyle w:val="Style9"/>
          <w:rFonts w:ascii="Times New Roman" w:hAnsi="Times New Roman"/>
          <w:b w:val="false"/>
          <w:bCs w:val="false"/>
          <w:sz w:val="28"/>
          <w:szCs w:val="28"/>
        </w:rPr>
        <w:t>нестационарного торгового объекта</w:t>
      </w:r>
      <w:r>
        <w:rPr>
          <w:rFonts w:ascii="Times New Roman" w:hAnsi="Times New Roman"/>
          <w:bCs w:val="false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№ 4). 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Договор на размещение является документом, подтверждающ</w:t>
      </w:r>
      <w:r>
        <w:rPr>
          <w:rFonts w:cs="Times New Roman" w:ascii="Times New Roman" w:hAnsi="Times New Roman"/>
          <w:color w:val="000000"/>
          <w:sz w:val="28"/>
          <w:szCs w:val="28"/>
        </w:rPr>
        <w:t>им право на размещение нестационарного торгового объекта на определенном месте, включенном в Схему.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Договоры на размещение с хозяйствующими субъектами от имени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Николаевского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Ивантеевского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cs="Times New Roman" w:ascii="Times New Roman" w:hAnsi="Times New Roman"/>
          <w:color w:val="000000"/>
          <w:sz w:val="28"/>
          <w:szCs w:val="28"/>
        </w:rPr>
        <w:t>Саратов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ской области заключаются администрацией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Николаевского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Ивантеевского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cs="Times New Roman" w:ascii="Times New Roman" w:hAnsi="Times New Roman"/>
          <w:color w:val="000000"/>
          <w:sz w:val="28"/>
          <w:szCs w:val="28"/>
        </w:rPr>
        <w:t>Саратов</w:t>
      </w:r>
      <w:r>
        <w:rPr>
          <w:rFonts w:cs="Times New Roman" w:ascii="Times New Roman" w:hAnsi="Times New Roman"/>
          <w:color w:val="000000"/>
          <w:sz w:val="28"/>
          <w:szCs w:val="28"/>
        </w:rPr>
        <w:t>ской области.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Договор на размещен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 xml:space="preserve">ие </w:t>
      </w:r>
      <w:r>
        <w:rPr>
          <w:rStyle w:val="Style9"/>
          <w:rFonts w:ascii="Times New Roman" w:hAnsi="Times New Roman"/>
          <w:b w:val="false"/>
          <w:bCs w:val="false"/>
          <w:sz w:val="28"/>
          <w:szCs w:val="28"/>
        </w:rPr>
        <w:t xml:space="preserve">нестационарного торгового объекта 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мо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жет быть заключен </w:t>
      </w:r>
      <w:r>
        <w:rPr>
          <w:rFonts w:ascii="Times New Roman" w:hAnsi="Times New Roman"/>
          <w:sz w:val="28"/>
          <w:szCs w:val="28"/>
        </w:rPr>
        <w:t>на срок, не превышающий срок действия Схемы.»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1.2. 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Дополнить Приложением № 4 следующего содержания:</w:t>
      </w:r>
    </w:p>
    <w:p>
      <w:pPr>
        <w:pStyle w:val="Normal"/>
        <w:spacing w:before="0" w:after="0"/>
        <w:jc w:val="right"/>
        <w:rPr/>
      </w:pPr>
      <w:r>
        <w:rPr>
          <w:rStyle w:val="Style9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01414"/>
          <w:spacing w:val="15"/>
          <w:sz w:val="24"/>
          <w:szCs w:val="24"/>
        </w:rPr>
        <w:t xml:space="preserve">Приложение </w:t>
      </w:r>
      <w:r>
        <w:rPr>
          <w:rStyle w:val="Style9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01414"/>
          <w:spacing w:val="15"/>
          <w:sz w:val="24"/>
          <w:szCs w:val="24"/>
        </w:rPr>
        <w:t>№ 4</w:t>
      </w:r>
      <w:r>
        <w:rPr>
          <w:rStyle w:val="Style9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01414"/>
          <w:spacing w:val="15"/>
          <w:sz w:val="24"/>
          <w:szCs w:val="24"/>
        </w:rPr>
        <w:t xml:space="preserve"> к Положению </w:t>
      </w:r>
      <w:r>
        <w:rPr>
          <w:rStyle w:val="Style9"/>
          <w:rFonts w:cs="Verdana;Geneva" w:ascii="Times New Roman" w:hAnsi="Times New Roman"/>
          <w:b w:val="false"/>
          <w:bCs w:val="false"/>
          <w:i w:val="false"/>
          <w:caps w:val="false"/>
          <w:smallCaps w:val="false"/>
          <w:color w:val="101414"/>
          <w:spacing w:val="15"/>
          <w:sz w:val="24"/>
          <w:szCs w:val="24"/>
        </w:rPr>
        <w:t xml:space="preserve">о порядке </w:t>
      </w:r>
    </w:p>
    <w:p>
      <w:pPr>
        <w:pStyle w:val="Normal"/>
        <w:spacing w:before="0" w:after="0"/>
        <w:jc w:val="right"/>
        <w:rPr/>
      </w:pPr>
      <w:r>
        <w:rPr>
          <w:rStyle w:val="Style9"/>
          <w:rFonts w:ascii="Times New Roman" w:hAnsi="Times New Roman"/>
          <w:b w:val="false"/>
          <w:bCs w:val="false"/>
          <w:sz w:val="24"/>
          <w:szCs w:val="24"/>
        </w:rPr>
        <w:t>предоставления права на размещение</w:t>
      </w:r>
    </w:p>
    <w:p>
      <w:pPr>
        <w:pStyle w:val="Normal"/>
        <w:spacing w:before="0" w:after="0"/>
        <w:jc w:val="right"/>
        <w:rPr/>
      </w:pPr>
      <w:r>
        <w:rPr>
          <w:rStyle w:val="Style9"/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Style9"/>
          <w:rFonts w:ascii="Times New Roman" w:hAnsi="Times New Roman"/>
          <w:b w:val="false"/>
          <w:bCs w:val="false"/>
          <w:sz w:val="24"/>
          <w:szCs w:val="24"/>
        </w:rPr>
        <w:t xml:space="preserve">нестационарных торговых объектов </w:t>
      </w:r>
    </w:p>
    <w:p>
      <w:pPr>
        <w:pStyle w:val="Normal"/>
        <w:spacing w:before="0" w:after="0"/>
        <w:jc w:val="right"/>
        <w:rPr/>
      </w:pPr>
      <w:r>
        <w:rPr>
          <w:rStyle w:val="Style9"/>
          <w:rFonts w:ascii="Times New Roman" w:hAnsi="Times New Roman"/>
          <w:b w:val="false"/>
          <w:bCs w:val="false"/>
          <w:sz w:val="24"/>
          <w:szCs w:val="24"/>
        </w:rPr>
        <w:t xml:space="preserve">на территории </w:t>
      </w:r>
      <w:bookmarkStart w:id="0" w:name="__DdeLink__1564_2250431374"/>
      <w:r>
        <w:rPr>
          <w:rStyle w:val="Style9"/>
          <w:rFonts w:ascii="Times New Roman" w:hAnsi="Times New Roman"/>
          <w:b w:val="false"/>
          <w:bCs w:val="false"/>
          <w:sz w:val="24"/>
          <w:szCs w:val="24"/>
        </w:rPr>
        <w:t xml:space="preserve">Николаевского муниципального </w:t>
      </w:r>
    </w:p>
    <w:p>
      <w:pPr>
        <w:pStyle w:val="Normal"/>
        <w:spacing w:before="0" w:after="0"/>
        <w:jc w:val="right"/>
        <w:rPr/>
      </w:pPr>
      <w:r>
        <w:rPr>
          <w:rStyle w:val="Style9"/>
          <w:rFonts w:ascii="Times New Roman" w:hAnsi="Times New Roman"/>
          <w:b w:val="false"/>
          <w:bCs w:val="false"/>
          <w:sz w:val="24"/>
          <w:szCs w:val="24"/>
        </w:rPr>
        <w:t xml:space="preserve">образования Ивантеевского  муниципального </w:t>
      </w:r>
    </w:p>
    <w:p>
      <w:pPr>
        <w:pStyle w:val="Normal"/>
        <w:jc w:val="right"/>
        <w:rPr/>
      </w:pPr>
      <w:bookmarkEnd w:id="0"/>
      <w:r>
        <w:rPr>
          <w:rStyle w:val="Style9"/>
          <w:rFonts w:cs="Verdana;Geneva" w:ascii="Times New Roman" w:hAnsi="Times New Roman"/>
          <w:b w:val="false"/>
          <w:bCs w:val="false"/>
          <w:i w:val="false"/>
          <w:caps w:val="false"/>
          <w:smallCaps w:val="false"/>
          <w:color w:val="101414"/>
          <w:spacing w:val="15"/>
          <w:sz w:val="24"/>
          <w:szCs w:val="24"/>
        </w:rPr>
        <w:t xml:space="preserve">района Саратовской области </w:t>
      </w:r>
    </w:p>
    <w:p>
      <w:pPr>
        <w:pStyle w:val="Normal"/>
        <w:spacing w:before="0" w:after="0"/>
        <w:jc w:val="both"/>
        <w:rPr/>
      </w:pPr>
      <w:r>
        <w:rPr>
          <w:rStyle w:val="Style9"/>
          <w:rFonts w:cs="Verdana;Geneva" w:ascii="Times New Roman" w:hAnsi="Times New Roman"/>
          <w:b/>
          <w:bCs/>
          <w:i w:val="false"/>
          <w:caps w:val="false"/>
          <w:smallCaps w:val="false"/>
          <w:color w:val="101414"/>
          <w:spacing w:val="15"/>
          <w:sz w:val="28"/>
          <w:szCs w:val="28"/>
        </w:rPr>
        <w:t xml:space="preserve">Типовая форма договора на размещение нестационарного торгового объекта на территории Николаевского муниципального </w:t>
      </w:r>
      <w:r>
        <w:rPr>
          <w:rStyle w:val="Style9"/>
          <w:rFonts w:ascii="Times New Roman" w:hAnsi="Times New Roman"/>
          <w:b/>
          <w:bCs/>
          <w:sz w:val="28"/>
          <w:szCs w:val="28"/>
        </w:rPr>
        <w:t xml:space="preserve">образования Ивантеевского  муниципального </w:t>
      </w:r>
      <w:r>
        <w:rPr>
          <w:rStyle w:val="Style9"/>
          <w:rFonts w:cs="Verdana;Geneva" w:ascii="Times New Roman" w:hAnsi="Times New Roman"/>
          <w:b/>
          <w:bCs/>
          <w:i w:val="false"/>
          <w:caps w:val="false"/>
          <w:smallCaps w:val="false"/>
          <w:color w:val="101414"/>
          <w:spacing w:val="15"/>
          <w:sz w:val="28"/>
          <w:szCs w:val="28"/>
        </w:rPr>
        <w:t xml:space="preserve">района Саратовской области </w:t>
      </w:r>
    </w:p>
    <w:p>
      <w:pPr>
        <w:pStyle w:val="Normal"/>
        <w:spacing w:before="0" w:after="0"/>
        <w:jc w:val="center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Договор на размещение</w:t>
      </w:r>
    </w:p>
    <w:p>
      <w:pPr>
        <w:pStyle w:val="Normal"/>
        <w:spacing w:before="0" w:after="86"/>
        <w:jc w:val="center"/>
        <w:rPr/>
      </w:pPr>
      <w:r>
        <w:rPr>
          <w:rFonts w:ascii="Times New Roman" w:hAnsi="Times New Roman"/>
          <w:sz w:val="26"/>
          <w:szCs w:val="26"/>
        </w:rPr>
        <w:t xml:space="preserve">нестационарного торгового объекта на территории </w:t>
      </w:r>
      <w:r>
        <w:rPr>
          <w:rStyle w:val="Style9"/>
          <w:rFonts w:ascii="Times New Roman" w:hAnsi="Times New Roman"/>
          <w:b w:val="false"/>
          <w:bCs w:val="false"/>
          <w:sz w:val="26"/>
          <w:szCs w:val="26"/>
        </w:rPr>
        <w:t xml:space="preserve">Николаевского муниципального образования Ивантеевского  муниципального </w:t>
      </w:r>
      <w:r>
        <w:rPr>
          <w:rStyle w:val="Style9"/>
          <w:rFonts w:cs="Verdana;Geneva" w:ascii="Times New Roman" w:hAnsi="Times New Roman"/>
          <w:b w:val="false"/>
          <w:bCs w:val="false"/>
          <w:i w:val="false"/>
          <w:caps w:val="false"/>
          <w:smallCaps w:val="false"/>
          <w:color w:val="101414"/>
          <w:spacing w:val="15"/>
          <w:sz w:val="26"/>
          <w:szCs w:val="26"/>
        </w:rPr>
        <w:t xml:space="preserve">района Саратовской области 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Николаевка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«__» _________ 20__ г.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 хозяйствующего субъекта)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лице ____________________________________________________________,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(должность, Ф.И.О.)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действующего на основании _________________________________________,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именуемый  в  дальнейшем  «Хозяйствующий  субъект»,  с  одной  стороны,  и уполномоченный орган в лице ____________________________________ именуемый в дальнейшем «Уполномоченный орган», с другой  стороны,  а  вместе  именуемые «Стороны», заключили настоящий Договор о нижеследующем:</w:t>
      </w:r>
    </w:p>
    <w:p>
      <w:pPr>
        <w:pStyle w:val="Normal"/>
        <w:rPr/>
      </w:pPr>
      <w:r>
        <w:rPr>
          <w:rStyle w:val="Style9"/>
          <w:rFonts w:ascii="Times New Roman" w:hAnsi="Times New Roman"/>
          <w:b w:val="false"/>
          <w:bCs w:val="false"/>
          <w:sz w:val="26"/>
          <w:szCs w:val="26"/>
        </w:rPr>
        <w:t>1. Предмет Договора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  Уполномоченный  орган предоставляет Хозяйствующему субъекту право на размещение нестационарного торгового объекта (далее – объект):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__________________________________________________________________,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(вид, специализация объекта, адрес места расположения объекта, номер места размещения объекта в Схеме размещения нестационарных торговых объектов, требования к архитектурному облику объекта)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   картографической   схеме   размещения  объекта  масштаба  1:500,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являющейся неотъемлемой частью настоящего Договора, а Хозяйствующий субъект обязуется разместить, и обеспечить в течение всего срока действия настоящего Договора  функционирование объекта на условиях и в порядке, предусмотренных настоящим Договором.</w:t>
      </w:r>
    </w:p>
    <w:p>
      <w:pPr>
        <w:pStyle w:val="Normal"/>
        <w:rPr/>
      </w:pPr>
      <w:r>
        <w:rPr>
          <w:rStyle w:val="Style9"/>
          <w:rFonts w:ascii="Times New Roman" w:hAnsi="Times New Roman"/>
          <w:b w:val="false"/>
          <w:bCs w:val="false"/>
          <w:sz w:val="26"/>
          <w:szCs w:val="26"/>
        </w:rPr>
        <w:t>2. Условия Договора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Хозяйствующий субъект обязан: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 В течение 1 месяца со дня подписания настоящего Договора, обеспечить размещение объекта, соответствующего требованиям п. 1.1 настоящего Договора.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 Использовать объект в соответствии с условиями п. 1.1 настоящего Договора.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Не производить изменений внешнего облика объекта без письменного согласования с Уполномоченным органом.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Уведомлять Уполномоченный орган о передаче права на размещение объекта третьим лицам.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неблагоприятные последствия, связанные с неуведомлением уполномоченного органа о передаче права на размещение объекта, возлагаются на хозяйствующих субъектов, заключивших договор, предусматривающий передачу прав и обязанностей по настоящему Договору.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Соблюдать при размещении и использовании объекта требования действующего законодательства, в том числе, градостроительных, строительных, экологических, санитарно-гигиенических, противопожарных и иных правил и нормативов.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При прекращении настоящего Договора в срок, не превышающий 15 дней, обеспечить демонтаж и вывоз объекта с места его размещения.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Хозяйствующий субъект имеет право: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 Разместить нестационарный торговый объект соответствующий условиям настоящего Договора в месте, предусмотренном Договором;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2.2.2. Передавать свои права по настоящему Договору третьим лицам.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Уполномоченный орган обязан: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2.3.1. Предоставить хозяйствующему субъекту место для размещения нестационарного торгового объекта, соответствующее условиям настоящего Договора.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Уполномоченный орган имеет право: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2.4.1. В любое время действия Договора проверять соблюдение Хозяйствующим субъектом требований настоящего Договора на месте размещения объекта.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2.4.2.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</w:t>
      </w:r>
    </w:p>
    <w:p>
      <w:pPr>
        <w:pStyle w:val="Normal"/>
        <w:rPr/>
      </w:pPr>
      <w:r>
        <w:rPr>
          <w:rStyle w:val="Style9"/>
          <w:rFonts w:ascii="Times New Roman" w:hAnsi="Times New Roman"/>
          <w:b w:val="false"/>
          <w:bCs w:val="false"/>
          <w:sz w:val="26"/>
          <w:szCs w:val="26"/>
        </w:rPr>
        <w:t>3</w:t>
      </w:r>
      <w:r>
        <w:rPr>
          <w:rStyle w:val="Style9"/>
          <w:rFonts w:ascii="Times New Roman" w:hAnsi="Times New Roman"/>
          <w:b w:val="false"/>
          <w:bCs w:val="false"/>
          <w:sz w:val="26"/>
          <w:szCs w:val="26"/>
        </w:rPr>
        <w:t>. Срок действия Договора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.1. Настоящий Договор вступает в силу со дня его подписания Сторонами и действует до «____» _________ 20__ г.</w:t>
      </w:r>
    </w:p>
    <w:p>
      <w:pPr>
        <w:pStyle w:val="Normal"/>
        <w:rPr/>
      </w:pPr>
      <w:r>
        <w:rPr>
          <w:rStyle w:val="Style9"/>
          <w:rFonts w:ascii="Times New Roman" w:hAnsi="Times New Roman"/>
          <w:b w:val="false"/>
          <w:bCs w:val="false"/>
          <w:sz w:val="26"/>
          <w:szCs w:val="26"/>
        </w:rPr>
        <w:t>4</w:t>
      </w:r>
      <w:r>
        <w:rPr>
          <w:rStyle w:val="Style9"/>
          <w:rFonts w:ascii="Times New Roman" w:hAnsi="Times New Roman"/>
          <w:b w:val="false"/>
          <w:bCs w:val="false"/>
          <w:sz w:val="26"/>
          <w:szCs w:val="26"/>
        </w:rPr>
        <w:t>. Прекращение и расторжение Договора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.1. Действие настоящего Договора прекращается в следующих случаях: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.1.1. по истечении срока, на который заключен Договор;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.1.2. исключения места, на котором размещается объект, из схемы размещения нестационарных торговых объектов, в связи с принятием решения об изъятии земельного участка для государственных или муниципальных нужд;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.1.3. если размещение объекта в определенном месте не соответствует требованиям действующего законодательства;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.1.4. расторжения Договора в одностороннем порядке;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.1.5. в иных случаях, предусмотренных действующим законодательством.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.2. Договор на размещение может быть расторгнут досрочно в одностороннем порядке в следующих случаях:</w:t>
      </w:r>
    </w:p>
    <w:p>
      <w:pPr>
        <w:pStyle w:val="Normal"/>
        <w:jc w:val="both"/>
        <w:rPr/>
      </w:pPr>
      <w:r>
        <w:rPr>
          <w:rFonts w:cs="Verdana;Geneva" w:ascii="Times New Roman" w:hAnsi="Times New Roman"/>
          <w:b w:val="false"/>
          <w:i w:val="false"/>
          <w:caps w:val="false"/>
          <w:smallCaps w:val="false"/>
          <w:color w:val="101414"/>
          <w:spacing w:val="15"/>
          <w:sz w:val="26"/>
          <w:szCs w:val="26"/>
        </w:rPr>
        <w:t>4</w:t>
      </w:r>
      <w:r>
        <w:rPr>
          <w:rFonts w:cs="Verdana;Geneva" w:ascii="Times New Roman" w:hAnsi="Times New Roman"/>
          <w:b w:val="false"/>
          <w:i w:val="false"/>
          <w:caps w:val="false"/>
          <w:smallCaps w:val="false"/>
          <w:color w:val="101414"/>
          <w:spacing w:val="15"/>
          <w:sz w:val="26"/>
          <w:szCs w:val="26"/>
        </w:rPr>
        <w:t>.2.1. по заявлению Хозяйствующего субъекта о расторжении Договора;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.2.2. зафиксированных в установленном порядке двух и более в течение года нарушений, выявленных в работе объекта;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размещение объекта, не соответствующего Схеме или не соответствующего архитектурному решению;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не размещение Хозяйствующим субъектом в месте, определенном Договором, объекта, в течение 1 месяца с даты заключения настоящего Договора;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использование Хозяйствующим субъектом объекта с нарушением  условий, указанных в п. 1.1 настоящего Договора.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изменение внешнего облика объекта без письменного согласования с Уполномоченным органом;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в иных случаях предусмотренных действующим законодательством.</w:t>
      </w:r>
    </w:p>
    <w:p>
      <w:pPr>
        <w:pStyle w:val="Normal"/>
        <w:rPr/>
      </w:pPr>
      <w:r>
        <w:rPr>
          <w:rStyle w:val="Style9"/>
          <w:rFonts w:ascii="Times New Roman" w:hAnsi="Times New Roman"/>
          <w:b w:val="false"/>
          <w:bCs w:val="false"/>
          <w:sz w:val="26"/>
          <w:szCs w:val="26"/>
        </w:rPr>
        <w:t>5</w:t>
      </w:r>
      <w:r>
        <w:rPr>
          <w:rStyle w:val="Style9"/>
          <w:rFonts w:ascii="Times New Roman" w:hAnsi="Times New Roman"/>
          <w:b w:val="false"/>
          <w:bCs w:val="false"/>
          <w:sz w:val="26"/>
          <w:szCs w:val="26"/>
        </w:rPr>
        <w:t>. Заключительные положения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суда в установленном порядке.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.2. Настоящий Договор составлен в двух экземплярах, имеющих одинаковую юридическую силу (по одному для каждой из Сторон).</w:t>
      </w:r>
    </w:p>
    <w:p>
      <w:pPr>
        <w:pStyle w:val="Normal"/>
        <w:rPr/>
      </w:pPr>
      <w:r>
        <w:rPr>
          <w:rStyle w:val="Style9"/>
          <w:rFonts w:ascii="Times New Roman" w:hAnsi="Times New Roman"/>
          <w:b w:val="false"/>
          <w:bCs w:val="false"/>
          <w:sz w:val="26"/>
          <w:szCs w:val="26"/>
        </w:rPr>
        <w:t>6</w:t>
      </w:r>
      <w:r>
        <w:rPr>
          <w:rStyle w:val="Style9"/>
          <w:rFonts w:ascii="Times New Roman" w:hAnsi="Times New Roman"/>
          <w:b w:val="false"/>
          <w:bCs w:val="false"/>
          <w:sz w:val="26"/>
          <w:szCs w:val="26"/>
        </w:rPr>
        <w:t>. Реквизиты и подписи Сторон</w:t>
      </w:r>
    </w:p>
    <w:tbl>
      <w:tblPr>
        <w:tblW w:w="9677" w:type="dxa"/>
        <w:jc w:val="left"/>
        <w:tblInd w:w="0" w:type="dxa"/>
        <w:tblBorders>
          <w:top w:val="single" w:sz="2" w:space="0" w:color="90A7A5"/>
          <w:left w:val="single" w:sz="2" w:space="0" w:color="90A7A5"/>
          <w:bottom w:val="single" w:sz="2" w:space="0" w:color="90A7A5"/>
          <w:insideH w:val="single" w:sz="2" w:space="0" w:color="90A7A5"/>
        </w:tblBorders>
        <w:tblCellMar>
          <w:top w:w="30" w:type="dxa"/>
          <w:left w:w="29" w:type="dxa"/>
          <w:bottom w:w="30" w:type="dxa"/>
          <w:right w:w="30" w:type="dxa"/>
        </w:tblCellMar>
      </w:tblPr>
      <w:tblGrid>
        <w:gridCol w:w="4425"/>
        <w:gridCol w:w="795"/>
        <w:gridCol w:w="4457"/>
      </w:tblGrid>
      <w:tr>
        <w:trPr/>
        <w:tc>
          <w:tcPr>
            <w:tcW w:w="4425" w:type="dxa"/>
            <w:tcBorders>
              <w:top w:val="single" w:sz="2" w:space="0" w:color="90A7A5"/>
              <w:left w:val="single" w:sz="2" w:space="0" w:color="90A7A5"/>
              <w:bottom w:val="single" w:sz="2" w:space="0" w:color="90A7A5"/>
              <w:insideH w:val="single" w:sz="2" w:space="0" w:color="90A7A5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Хозяйствующий субъект</w:t>
            </w:r>
          </w:p>
        </w:tc>
        <w:tc>
          <w:tcPr>
            <w:tcW w:w="795" w:type="dxa"/>
            <w:tcBorders>
              <w:top w:val="single" w:sz="2" w:space="0" w:color="90A7A5"/>
              <w:left w:val="single" w:sz="2" w:space="0" w:color="90A7A5"/>
              <w:bottom w:val="single" w:sz="2" w:space="0" w:color="90A7A5"/>
              <w:insideH w:val="single" w:sz="2" w:space="0" w:color="90A7A5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57" w:type="dxa"/>
            <w:tcBorders>
              <w:top w:val="single" w:sz="2" w:space="0" w:color="90A7A5"/>
              <w:left w:val="single" w:sz="2" w:space="0" w:color="90A7A5"/>
              <w:bottom w:val="single" w:sz="2" w:space="0" w:color="90A7A5"/>
              <w:right w:val="single" w:sz="2" w:space="0" w:color="90A7A5"/>
              <w:insideH w:val="single" w:sz="2" w:space="0" w:color="90A7A5"/>
              <w:insideV w:val="single" w:sz="2" w:space="0" w:color="90A7A5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Уполномоченный орган</w:t>
            </w:r>
          </w:p>
        </w:tc>
      </w:tr>
      <w:tr>
        <w:trPr/>
        <w:tc>
          <w:tcPr>
            <w:tcW w:w="4425" w:type="dxa"/>
            <w:tcBorders>
              <w:top w:val="single" w:sz="2" w:space="0" w:color="90A7A5"/>
              <w:left w:val="single" w:sz="2" w:space="0" w:color="90A7A5"/>
              <w:bottom w:val="single" w:sz="2" w:space="0" w:color="90A7A5"/>
              <w:insideH w:val="single" w:sz="2" w:space="0" w:color="90A7A5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95" w:type="dxa"/>
            <w:tcBorders>
              <w:top w:val="single" w:sz="2" w:space="0" w:color="90A7A5"/>
              <w:left w:val="single" w:sz="2" w:space="0" w:color="90A7A5"/>
              <w:bottom w:val="single" w:sz="2" w:space="0" w:color="90A7A5"/>
              <w:insideH w:val="single" w:sz="2" w:space="0" w:color="90A7A5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57" w:type="dxa"/>
            <w:tcBorders>
              <w:top w:val="single" w:sz="2" w:space="0" w:color="90A7A5"/>
              <w:left w:val="single" w:sz="2" w:space="0" w:color="90A7A5"/>
              <w:bottom w:val="single" w:sz="2" w:space="0" w:color="90A7A5"/>
              <w:right w:val="single" w:sz="2" w:space="0" w:color="90A7A5"/>
              <w:insideH w:val="single" w:sz="2" w:space="0" w:color="90A7A5"/>
              <w:insideV w:val="single" w:sz="2" w:space="0" w:color="90A7A5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425" w:type="dxa"/>
            <w:tcBorders>
              <w:top w:val="single" w:sz="2" w:space="0" w:color="90A7A5"/>
              <w:left w:val="single" w:sz="2" w:space="0" w:color="90A7A5"/>
              <w:bottom w:val="single" w:sz="2" w:space="0" w:color="90A7A5"/>
              <w:insideH w:val="single" w:sz="2" w:space="0" w:color="90A7A5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795" w:type="dxa"/>
            <w:tcBorders>
              <w:top w:val="single" w:sz="2" w:space="0" w:color="90A7A5"/>
              <w:left w:val="single" w:sz="2" w:space="0" w:color="90A7A5"/>
              <w:bottom w:val="single" w:sz="2" w:space="0" w:color="90A7A5"/>
              <w:insideH w:val="single" w:sz="2" w:space="0" w:color="90A7A5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57" w:type="dxa"/>
            <w:tcBorders>
              <w:top w:val="single" w:sz="2" w:space="0" w:color="90A7A5"/>
              <w:left w:val="single" w:sz="2" w:space="0" w:color="90A7A5"/>
              <w:bottom w:val="single" w:sz="2" w:space="0" w:color="90A7A5"/>
              <w:right w:val="single" w:sz="2" w:space="0" w:color="90A7A5"/>
              <w:insideH w:val="single" w:sz="2" w:space="0" w:color="90A7A5"/>
              <w:insideV w:val="single" w:sz="2" w:space="0" w:color="90A7A5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  <w:tr>
        <w:trPr/>
        <w:tc>
          <w:tcPr>
            <w:tcW w:w="4425" w:type="dxa"/>
            <w:tcBorders>
              <w:top w:val="single" w:sz="2" w:space="0" w:color="90A7A5"/>
              <w:left w:val="single" w:sz="2" w:space="0" w:color="90A7A5"/>
              <w:bottom w:val="single" w:sz="2" w:space="0" w:color="90A7A5"/>
              <w:insideH w:val="single" w:sz="2" w:space="0" w:color="90A7A5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795" w:type="dxa"/>
            <w:tcBorders>
              <w:top w:val="single" w:sz="2" w:space="0" w:color="90A7A5"/>
              <w:left w:val="single" w:sz="2" w:space="0" w:color="90A7A5"/>
              <w:bottom w:val="single" w:sz="2" w:space="0" w:color="90A7A5"/>
              <w:insideH w:val="single" w:sz="2" w:space="0" w:color="90A7A5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57" w:type="dxa"/>
            <w:tcBorders>
              <w:top w:val="single" w:sz="2" w:space="0" w:color="90A7A5"/>
              <w:left w:val="single" w:sz="2" w:space="0" w:color="90A7A5"/>
              <w:bottom w:val="single" w:sz="2" w:space="0" w:color="90A7A5"/>
              <w:right w:val="single" w:sz="2" w:space="0" w:color="90A7A5"/>
              <w:insideH w:val="single" w:sz="2" w:space="0" w:color="90A7A5"/>
              <w:insideV w:val="single" w:sz="2" w:space="0" w:color="90A7A5"/>
            </w:tcBorders>
            <w:shd w:fill="auto" w:val="clear"/>
            <w:tcMar>
              <w:left w:w="29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ectPr>
          <w:type w:val="nextPage"/>
          <w:pgSz w:w="11906" w:h="16838"/>
          <w:pgMar w:left="1701" w:right="850" w:header="0" w:top="805" w:footer="0" w:bottom="569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</w:t>
      </w:r>
      <w:r>
        <w:rPr>
          <w:rFonts w:ascii="Times New Roman" w:hAnsi="Times New Roman"/>
          <w:sz w:val="28"/>
          <w:szCs w:val="28"/>
        </w:rPr>
        <w:t>муниципального района в разделе Николаевское муниципальное образование.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2"/>
        </w:numPr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1"/>
        <w:jc w:val="both"/>
        <w:rPr/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1"/>
        <w:jc w:val="both"/>
        <w:rPr/>
      </w:pPr>
      <w:bookmarkStart w:id="1" w:name="__DdeLink__13257_2446968708"/>
      <w:bookmarkEnd w:id="1"/>
      <w:r>
        <w:rPr>
          <w:b/>
          <w:sz w:val="28"/>
          <w:szCs w:val="28"/>
        </w:rPr>
        <w:t>муниципального образования                                            А.А. Демидов</w:t>
      </w:r>
      <w:r>
        <w:rPr>
          <w:szCs w:val="24"/>
        </w:rPr>
        <w:t xml:space="preserve"> </w:t>
      </w:r>
    </w:p>
    <w:sectPr>
      <w:type w:val="continuous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paragraph" w:styleId="1">
    <w:name w:val="Heading 1"/>
    <w:basedOn w:val="Style10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2">
    <w:name w:val="Heading 2"/>
    <w:basedOn w:val="Style10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0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10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10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10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10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10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10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1" w:customStyle="1">
    <w:name w:val="Основной шрифт абзаца1"/>
    <w:qFormat/>
    <w:rsid w:val="00b159ed"/>
    <w:rPr/>
  </w:style>
  <w:style w:type="character" w:styleId="Style5" w:customStyle="1">
    <w:name w:val="Основной текст Знак"/>
    <w:basedOn w:val="1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6" w:customStyle="1">
    <w:name w:val="Текст выноски Знак"/>
    <w:basedOn w:val="11"/>
    <w:qFormat/>
    <w:rsid w:val="00b159ed"/>
    <w:rPr>
      <w:rFonts w:ascii="Tahoma" w:hAnsi="Tahoma" w:cs="Tahoma"/>
      <w:sz w:val="16"/>
      <w:szCs w:val="16"/>
    </w:rPr>
  </w:style>
  <w:style w:type="character" w:styleId="Style7" w:customStyle="1">
    <w:name w:val="Символ нумерации"/>
    <w:qFormat/>
    <w:rsid w:val="00b159ed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character" w:styleId="Style9">
    <w:name w:val="Выделение жирным"/>
    <w:qFormat/>
    <w:rPr>
      <w:b/>
      <w:bCs/>
    </w:rPr>
  </w:style>
  <w:style w:type="paragraph" w:styleId="Style10" w:customStyle="1">
    <w:name w:val="Заголовок"/>
    <w:basedOn w:val="Normal"/>
    <w:next w:val="Style11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1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2">
    <w:name w:val="List"/>
    <w:basedOn w:val="Style11"/>
    <w:rsid w:val="00b159ed"/>
    <w:pPr/>
    <w:rPr>
      <w:rFonts w:ascii="Arial" w:hAnsi="Arial"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3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4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5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16" w:customStyle="1">
    <w:name w:val="Заголовок таблицы"/>
    <w:basedOn w:val="Style15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7">
    <w:name w:val="Содержимое врезки"/>
    <w:basedOn w:val="Normal"/>
    <w:qFormat/>
    <w:pPr/>
    <w:rPr/>
  </w:style>
  <w:style w:type="paragraph" w:styleId="Formattext">
    <w:name w:val="formattext"/>
    <w:basedOn w:val="Normal"/>
    <w:qFormat/>
    <w:pPr>
      <w:widowControl/>
      <w:suppressAutoHyphens w:val="false"/>
      <w:spacing w:before="100" w:after="100"/>
    </w:pPr>
    <w:rPr>
      <w:rFonts w:eastAsia="Times New Roman" w:cs="Times New Roman"/>
      <w:kern w:val="2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5DAECCA23B2D54BE3B0F60F0B500F526EDB2A681BC7148ED24B68647074C597PE4E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LibreOffice/5.4.3.2$Windows_X86_64 LibreOffice_project/92a7159f7e4af62137622921e809f8546db437e5</Application>
  <Pages>5</Pages>
  <Words>983</Words>
  <Characters>7520</Characters>
  <CharactersWithSpaces>8606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2020-06-26T01:53:33Z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